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FE666" w14:textId="1ABA6C52" w:rsidR="0094330A" w:rsidRPr="0094330A" w:rsidRDefault="0094330A" w:rsidP="0094330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94330A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Лекция </w:t>
      </w:r>
      <w:r w:rsidR="00146E45">
        <w:rPr>
          <w:rFonts w:ascii="Times New Roman" w:hAnsi="Times New Roman" w:cs="Times New Roman"/>
          <w:b/>
          <w:bCs/>
          <w:sz w:val="24"/>
          <w:szCs w:val="24"/>
          <w:lang w:val="kk-KZ"/>
        </w:rPr>
        <w:t>1</w:t>
      </w:r>
      <w:r w:rsidR="00FE2B63">
        <w:rPr>
          <w:rFonts w:ascii="Times New Roman" w:hAnsi="Times New Roman" w:cs="Times New Roman"/>
          <w:b/>
          <w:bCs/>
          <w:sz w:val="24"/>
          <w:szCs w:val="24"/>
          <w:lang w:val="kk-KZ"/>
        </w:rPr>
        <w:t>4</w:t>
      </w:r>
      <w:r w:rsidR="00146E45">
        <w:rPr>
          <w:rFonts w:ascii="Times New Roman" w:hAnsi="Times New Roman" w:cs="Times New Roman"/>
          <w:b/>
          <w:bCs/>
          <w:sz w:val="24"/>
          <w:szCs w:val="24"/>
          <w:lang w:val="kk-KZ"/>
        </w:rPr>
        <w:t>.</w:t>
      </w:r>
    </w:p>
    <w:p w14:paraId="4DD6BF21" w14:textId="42D4A299" w:rsidR="0094330A" w:rsidRPr="0094330A" w:rsidRDefault="00FE2B63" w:rsidP="0094330A">
      <w:pPr>
        <w:pStyle w:val="2"/>
        <w:tabs>
          <w:tab w:val="num" w:pos="720"/>
        </w:tabs>
        <w:spacing w:after="0" w:line="240" w:lineRule="auto"/>
        <w:ind w:left="0" w:firstLine="709"/>
        <w:jc w:val="center"/>
        <w:rPr>
          <w:b/>
          <w:bCs/>
          <w:color w:val="000000"/>
          <w:sz w:val="24"/>
          <w:szCs w:val="24"/>
        </w:rPr>
      </w:pPr>
      <w:r w:rsidRPr="00FE2B63">
        <w:rPr>
          <w:b/>
          <w:bCs/>
          <w:color w:val="000000"/>
          <w:sz w:val="24"/>
          <w:szCs w:val="24"/>
        </w:rPr>
        <w:t>Переработка редкоземельных отходов</w:t>
      </w:r>
      <w:r w:rsidR="0094330A" w:rsidRPr="0094330A">
        <w:rPr>
          <w:b/>
          <w:bCs/>
          <w:color w:val="000000"/>
          <w:sz w:val="24"/>
          <w:szCs w:val="24"/>
        </w:rPr>
        <w:t>. Технология переработки</w:t>
      </w:r>
    </w:p>
    <w:p w14:paraId="426F3A4B" w14:textId="77777777" w:rsidR="0094330A" w:rsidRDefault="0094330A" w:rsidP="0094330A">
      <w:pPr>
        <w:pStyle w:val="1"/>
        <w:spacing w:before="0" w:beforeAutospacing="0" w:after="0" w:afterAutospacing="0"/>
        <w:ind w:firstLine="709"/>
        <w:jc w:val="both"/>
        <w:rPr>
          <w:color w:val="000000"/>
          <w:sz w:val="24"/>
          <w:szCs w:val="24"/>
        </w:rPr>
      </w:pPr>
    </w:p>
    <w:p w14:paraId="13774096" w14:textId="7C3A11AB" w:rsidR="00FE2B63" w:rsidRDefault="00FE2B63" w:rsidP="00FE2B63">
      <w:pPr>
        <w:pStyle w:val="1"/>
        <w:spacing w:before="0" w:beforeAutospacing="0"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 xml:space="preserve">Как уже упоминалось выше, наиболее рационально вовлечение в переработку тех источников редкоземельного сырья, элементный состав которых наиболее близок к структуре потребления. Очевидно, что с этой точки зрения переработка редкоземельных отходов находится вне конкуренции. До той поры, пока потребление РЗМ в мире оставалось незначительным, а цены невысокими, не было и реальных стимулов к их рециклингу </w:t>
      </w:r>
      <w:r>
        <w:rPr>
          <w:b w:val="0"/>
          <w:color w:val="000000"/>
          <w:sz w:val="24"/>
          <w:szCs w:val="24"/>
          <w:lang w:val="kk-KZ"/>
        </w:rPr>
        <w:t>-</w:t>
      </w:r>
      <w:r w:rsidRPr="00FE2B63">
        <w:rPr>
          <w:b w:val="0"/>
          <w:color w:val="000000"/>
          <w:sz w:val="24"/>
          <w:szCs w:val="24"/>
        </w:rPr>
        <w:t xml:space="preserve"> возвращению в технологическую производственную цепочку всех видов отходов и вторичного сырья. Ситуация радикально изменилась в первой декаде нынешнего столетия, особенно в период 2010</w:t>
      </w:r>
      <w:r>
        <w:rPr>
          <w:b w:val="0"/>
          <w:color w:val="000000"/>
          <w:sz w:val="24"/>
          <w:szCs w:val="24"/>
          <w:lang w:val="kk-KZ"/>
        </w:rPr>
        <w:t>-</w:t>
      </w:r>
      <w:r w:rsidRPr="00FE2B63">
        <w:rPr>
          <w:b w:val="0"/>
          <w:color w:val="000000"/>
          <w:sz w:val="24"/>
          <w:szCs w:val="24"/>
        </w:rPr>
        <w:t xml:space="preserve">2011 гг., из-за ограничений поставок из Китая и кратного роста цен на всю редкоземельную продукцию [1, 2]. В это время появились многочисленные исследования текущей рыночной ситуации, прогнозы снабжения редкоземельным сырьем на кратко- и долгосрочную перспективу, в разных странах было открыто финансирование в рамках большого числа проектов, имеющих цель ослабить зависимость потребителей РЗМ от монопольного производителя </w:t>
      </w:r>
      <w:r>
        <w:rPr>
          <w:b w:val="0"/>
          <w:color w:val="000000"/>
          <w:sz w:val="24"/>
          <w:szCs w:val="24"/>
          <w:lang w:val="kk-KZ"/>
        </w:rPr>
        <w:t>-</w:t>
      </w:r>
      <w:r w:rsidRPr="00FE2B63">
        <w:rPr>
          <w:b w:val="0"/>
          <w:color w:val="000000"/>
          <w:sz w:val="24"/>
          <w:szCs w:val="24"/>
        </w:rPr>
        <w:t xml:space="preserve"> Китая. Появился интерес и к переработке отходов, содержащих редкоземельные металлы.</w:t>
      </w:r>
    </w:p>
    <w:p w14:paraId="643B20C8" w14:textId="7F8459D5" w:rsidR="00FE2B63" w:rsidRPr="00FE2B63" w:rsidRDefault="00FE2B63" w:rsidP="00FE2B63">
      <w:pPr>
        <w:pStyle w:val="1"/>
        <w:spacing w:before="0" w:beforeAutospacing="0"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>Различным аспектам проблемы рециклинга в последнее время уделяется большое внимание [3</w:t>
      </w:r>
      <w:r>
        <w:rPr>
          <w:b w:val="0"/>
          <w:color w:val="000000"/>
          <w:sz w:val="24"/>
          <w:szCs w:val="24"/>
          <w:lang w:val="kk-KZ"/>
        </w:rPr>
        <w:t>-</w:t>
      </w:r>
      <w:r w:rsidRPr="00FE2B63">
        <w:rPr>
          <w:b w:val="0"/>
          <w:color w:val="000000"/>
          <w:sz w:val="24"/>
          <w:szCs w:val="24"/>
        </w:rPr>
        <w:t xml:space="preserve">6]. Интенсивность публикаций обзоров, затрагивающих различные стороны проблемы, особенно возросла после «редкоземельного кризиса», когда остро потребовались новые источники редкоземельного сырья [7—20]. Произошедшее позже падение цен на рынке редкоземельных металлов снизило сиюминутный интерес бизнеса к переработке редкоземельных отходов. Тем не менее, исследования в этой области, рассчитанные на перспективу практического освоения, ведутся широким фронтом в Китае, Японии, США и Европе в рамках государственных и межгосударственных программ (EREAN, </w:t>
      </w:r>
      <w:proofErr w:type="spellStart"/>
      <w:r w:rsidRPr="00FE2B63">
        <w:rPr>
          <w:b w:val="0"/>
          <w:color w:val="000000"/>
          <w:sz w:val="24"/>
          <w:szCs w:val="24"/>
        </w:rPr>
        <w:t>REEcover</w:t>
      </w:r>
      <w:proofErr w:type="spellEnd"/>
      <w:r w:rsidRPr="00FE2B63">
        <w:rPr>
          <w:b w:val="0"/>
          <w:color w:val="000000"/>
          <w:sz w:val="24"/>
          <w:szCs w:val="24"/>
        </w:rPr>
        <w:t>, REE4EU). Нарастает поток публикаций, затрагивающих отдельные вопросы проблемы, на последней Европейской конференции по редкоземельным ресурсам (ERES 2017) рециклингу было посвящено более 40 докладов.</w:t>
      </w:r>
    </w:p>
    <w:p w14:paraId="4B658CA5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>Имеющаяся информация об объемах накопления вторичных ресурсов редкоземельных металлов впечатляет [5, 21]. По данным Национального Института Материаловедения, в настоящее время в Японии в электронном ломе сосредоточено порядка 300 тыс. т РЗЭ.</w:t>
      </w:r>
    </w:p>
    <w:p w14:paraId="11D176AD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 xml:space="preserve">Общемировое количество потенциальных отходов редких земель в 2007 г. оценивалось в 485 тыс. т. Очень внушительно выглядит объем отходов применительно к неодиму, поскольку, по данным [22], до 50 % его исходного количества, используемого для изготовления магнитных материалов, в процессе производства превращается в скрап. Институт прикладной экологии в Дармштадте выпустил отчет, касающийся извлечения «критических материалов», в том числе РЗЭ, из вышедшего из употребления электронного оборудования [23]. Анализ представленной в нем статистики существенно меняет взгляд на устоявшиеся представления о наиболее емких областях потребления неодима, в том числе и в виде высококоэрцитивных магнитов. По их оценкам, только при изготовлении жестких дисков всех запоминающих устройств в 2010 г. было использовано 3039 т неодима, что составило 13 % мирового потребления этого металла, а самые емкие области потребления неодимовых магнитов — компьютеры и аудиосистемы, соответственно 34 и 24 % рынка. Даже с учетом редкоземельных магнитов в ветрогенераторах, небольшие магниты в бытовой электронике и электротехнике составляют основу потребляемых РЗМ в этой сфере. Только в выпускаемых сегодня 600 млн жестких дисков памяти (10—20 г в каждом) заключено 6 000—12 000 т сплавов </w:t>
      </w:r>
      <w:proofErr w:type="spellStart"/>
      <w:r w:rsidRPr="00FE2B63">
        <w:rPr>
          <w:b w:val="0"/>
          <w:color w:val="000000"/>
          <w:sz w:val="24"/>
          <w:szCs w:val="24"/>
        </w:rPr>
        <w:t>FeNdB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. Средний срок их эксплуатации оценивается в среднем в 5 лет [19]. Таким образом, несмотря на небольшое содержание РЗМ в отдельных </w:t>
      </w:r>
      <w:r w:rsidRPr="00FE2B63">
        <w:rPr>
          <w:b w:val="0"/>
          <w:color w:val="000000"/>
          <w:sz w:val="24"/>
          <w:szCs w:val="24"/>
        </w:rPr>
        <w:lastRenderedPageBreak/>
        <w:t>устройствах, огромный масштаб их производства создает значительные потоки ценного вторичного сырья, безусловно требующего утилизации. Всего в 2008 г. было произведено 26 300 т железо-неодим-борных магнитов, и на их выпуск пошло 76 % всего использованного в этом году неодима, 70 % празеодима, 69 % гадолиния и 100 % диспрозия [24]. Общий объем этих четырех металлов (</w:t>
      </w:r>
      <w:proofErr w:type="spellStart"/>
      <w:r w:rsidRPr="00FE2B63">
        <w:rPr>
          <w:b w:val="0"/>
          <w:color w:val="000000"/>
          <w:sz w:val="24"/>
          <w:szCs w:val="24"/>
        </w:rPr>
        <w:t>Pr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Nd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Tb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Dy</w:t>
      </w:r>
      <w:proofErr w:type="spellEnd"/>
      <w:r w:rsidRPr="00FE2B63">
        <w:rPr>
          <w:b w:val="0"/>
          <w:color w:val="000000"/>
          <w:sz w:val="24"/>
          <w:szCs w:val="24"/>
        </w:rPr>
        <w:t>), использующихся в настоящее время в форме магнитов, давно перевалил за 100 тыс. т, что иллюстрирует масштаб процессов рециклинга уже в недалеком будущем.</w:t>
      </w:r>
    </w:p>
    <w:p w14:paraId="2BC2916F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>Новый и растущий быстрыми темпами сектор применения редких земель — светодиоды (LED) — 21 млрд ламп в 2009 г. с темпом роста 11 % в год. Помимо еще двух «критических» металлов — индия и галлия, они содержат редкие земли — европий, гадолиний и иттрий. В целом же, окончившее жизненный цикл электронное оборудование представляет собой огромный, постоянно пополняющийся источник дорогих и дефицитных металлов и требует организации всей утилизационной цепи, наряду со своевременной разработкой соответствующих технологических процессов.</w:t>
      </w:r>
    </w:p>
    <w:p w14:paraId="625206D8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 xml:space="preserve">Образовался и продолжит нарастать поток РЗМ из выработавшего свой ресурс оборудования различного назначения [5]: в автомобиле Тойота </w:t>
      </w:r>
      <w:proofErr w:type="spellStart"/>
      <w:r w:rsidRPr="00FE2B63">
        <w:rPr>
          <w:b w:val="0"/>
          <w:color w:val="000000"/>
          <w:sz w:val="24"/>
          <w:szCs w:val="24"/>
        </w:rPr>
        <w:t>Приус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сосредоточено 0,91 кг неодима и более 4,5 кг лантана, типичный кондиционер воздуха имеет 4 магнита по 30 г РЗМ,</w:t>
      </w:r>
    </w:p>
    <w:p w14:paraId="7FDD7D28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>а ветрогенератор предыдущего поколения требовал 680 кг неодима (последнее поколение — более тонны). Объемы нуждающейся в утилизации бытовой техники настолько велики (более 6,5 млн т только в 2007 г.), что применительно к ним уже появился термин «городские месторождения». С оптимизмом рассматривается перспектива рециклинга лантана, церия, неодима и иттрия, составляющих около 85 % из общего количества потребляемых РЗМ. Осторожнее прогнозы в отношении возвращения в оборот остальных РЗМ в силу малого их количества в каждой из отдельно взятых единиц оборудования [8, 24].</w:t>
      </w:r>
    </w:p>
    <w:p w14:paraId="6F176EED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>Ожидается, что полученные в результате переработки отходов редкоземельные материалы будут сглаживать в будущем возможные скачки цен и дефицит того или иного металла.</w:t>
      </w:r>
    </w:p>
    <w:p w14:paraId="71075CA0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>Выгода для государства и общества от освоения процессов рециклинга заключается еще и в уменьшении воздействия на природную среду; отсутствии обычной для редкоземельного минерального сырья, усложняющей его переработку и требующей дорогостоящего захоронения радиоактивной составляющей; меньшей зависимости от поставщиков сырья; снижении производственных издержек в связи с отсутствием операций горно-обогатительного профиля, предшествующих химико-технологическим процессам, и создании новых рабочих мест.</w:t>
      </w:r>
    </w:p>
    <w:p w14:paraId="427960EF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 xml:space="preserve">Принципиально важным остается вопрос «баланса составляющих», возникающий при рассмотрении ТЭО новых и развития действующих месторождений, содержащих РЗМ. Преобладающее содержание редких земель подгруппы церия в большинстве из них, достигающее 98 % в </w:t>
      </w:r>
      <w:proofErr w:type="spellStart"/>
      <w:r w:rsidRPr="00FE2B63">
        <w:rPr>
          <w:b w:val="0"/>
          <w:color w:val="000000"/>
          <w:sz w:val="24"/>
          <w:szCs w:val="24"/>
        </w:rPr>
        <w:t>лопарите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— основном сырьевом источнике РЗМ в нашей стране, негативно отражается на перспективах расширения мощностей по добыче и переработке природного сырья, поскольку на мировом рынке всегда наблюдается избыток этих продуктов. В то же время, перерабатывая отходы, мы возвращаем в оборот только востребованные рынком металлы.</w:t>
      </w:r>
    </w:p>
    <w:p w14:paraId="45887F93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lastRenderedPageBreak/>
        <w:t>Тем не менее, текущий уровень переработки редкоземельных отходов и вторичного сырья остается крайне низким, и по оценкам [25, 26], не превышает 1 %, затрагивая, в основном, отходы производства магнитных материалов [5]. Принятая в настоящее время технология утилизации компьютерной техники и мобильных устройств предполагает их измельчение, что приводит к появлению отходов с низким содержанием ценных компонентов, малоинтересных бизнесу. Кроме того, среди причин вялого интереса к вторичному сырью — достаточно долгий расслабляющий период доступности и низких цен китайских карбонатов и оксидов; длительный и часто неопределенный срок эксплуатации оборудования, содержащего РЗЭ; неосведомленность большинства потребителей конечной продукции о наличии РЗЭ в используемом оборудовании;</w:t>
      </w:r>
    </w:p>
    <w:p w14:paraId="20930092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>отсутствие продуманной и разветвленной инфраструктуры для сбора и утилизации; отсутствие законодательной базы и реальных экономических стимулов к организации этого процесса.</w:t>
      </w:r>
    </w:p>
    <w:p w14:paraId="4289B688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 xml:space="preserve">Ожидается, что в ближайшее время результаты исследований найдут реальное практическое применение, прежде всего, в части переработки магнитов, аккумуляторов, люминесцентных ламп и катализаторов. Схема всего цикла переработки здесь существенно отличается от схемы переработки минерального сырья и включает в себя: сбор отходов или окончивших «жизненный цикл» приборов и оборудования; демонтаж; сортировку и лишь затем — собственно переработку. Анализ, проведенный ООН [26], показал, что факторами, определяющими эффективность усилий в области </w:t>
      </w:r>
      <w:proofErr w:type="spellStart"/>
      <w:r w:rsidRPr="00FE2B63">
        <w:rPr>
          <w:b w:val="0"/>
          <w:color w:val="000000"/>
          <w:sz w:val="24"/>
          <w:szCs w:val="24"/>
        </w:rPr>
        <w:t>рециклин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- га, являются следующие: экономический (стоимость материалов, идущих </w:t>
      </w:r>
      <w:proofErr w:type="gramStart"/>
      <w:r w:rsidRPr="00FE2B63">
        <w:rPr>
          <w:b w:val="0"/>
          <w:color w:val="000000"/>
          <w:sz w:val="24"/>
          <w:szCs w:val="24"/>
        </w:rPr>
        <w:t>на переработку</w:t>
      </w:r>
      <w:proofErr w:type="gramEnd"/>
      <w:r w:rsidRPr="00FE2B63">
        <w:rPr>
          <w:b w:val="0"/>
          <w:color w:val="000000"/>
          <w:sz w:val="24"/>
          <w:szCs w:val="24"/>
        </w:rPr>
        <w:t xml:space="preserve"> должна превышать стоимость переработки. В противном случае, должны быть приняты соответствующие законы и введены стимулы, побуждающие к переработке вторичного сырья); технологический (когда создатели того или иного оборудования имеют в виду его дальнейшую переработку и вносят изменения в дизайн и способ монтажа) и социальный (в общественном мнении переработка должна быть полезна и выгодна, а соответствующая инфраструктура стать действительно удобной и доступной). Подходы к созданию системы рециклинга возможны как на стадии производства и продажи РЗЭ-содержащего оборудования, так и на </w:t>
      </w:r>
      <w:proofErr w:type="spellStart"/>
      <w:r w:rsidRPr="00FE2B63">
        <w:rPr>
          <w:b w:val="0"/>
          <w:color w:val="000000"/>
          <w:sz w:val="24"/>
          <w:szCs w:val="24"/>
        </w:rPr>
        <w:t>постпотребительской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стадии. Пока реально перерабатываются, в основном, брак и отходы текущего производства, поскольку в них высока концентрация РЗМ, хорошо известен состав, довольно велик объем и существует постоянный и прогнозируемый по объему и срокам поставки приток из известных источников.</w:t>
      </w:r>
    </w:p>
    <w:p w14:paraId="19DB66E1" w14:textId="3D73E8DF" w:rsidR="00FE2B63" w:rsidRPr="00FE2B63" w:rsidRDefault="00FE2B63" w:rsidP="008D06B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 xml:space="preserve">Проблемы переработки отходов </w:t>
      </w:r>
      <w:proofErr w:type="spellStart"/>
      <w:r w:rsidRPr="00FE2B63">
        <w:rPr>
          <w:b w:val="0"/>
          <w:color w:val="000000"/>
          <w:sz w:val="24"/>
          <w:szCs w:val="24"/>
        </w:rPr>
        <w:t>постпотребительской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стадии заметно сложнее и включают довольно низкую концентрацию РЗМ во многих видах отходов, сложный вещественный и химический состав, рассеяние с высокотехнологичной продукцией по разным странам, часто не имеющим системы сбора отходов, неопределенно длительный период эксплуатации и отсутствие информации о наличии РЗМ в используемой продукции, непродуманность ад- </w:t>
      </w:r>
      <w:proofErr w:type="spellStart"/>
      <w:r w:rsidRPr="00FE2B63">
        <w:rPr>
          <w:b w:val="0"/>
          <w:color w:val="000000"/>
          <w:sz w:val="24"/>
          <w:szCs w:val="24"/>
        </w:rPr>
        <w:t>министративно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-регулирующей стороны вопроса. Общие для обеих стадий трудности заключаются в сложности физико-химических процессов переработки некоторых из этих отходов, высокой энергоемкости, отсутствии надежных, эффективных и хорошо отработанных на промышленном уровне технологий и соответствующей инфраструктуры. Может быть, еще важнее — равнодушие и отсутствие заинтересованности государства и общества в максимальном вовлечении в оборот отходов ценных металлов, первичная добыча которых из </w:t>
      </w:r>
      <w:proofErr w:type="spellStart"/>
      <w:r w:rsidRPr="00FE2B63">
        <w:rPr>
          <w:b w:val="0"/>
          <w:color w:val="000000"/>
          <w:sz w:val="24"/>
          <w:szCs w:val="24"/>
        </w:rPr>
        <w:t>невозобновляемых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источников требует огромных ресурсов и часто влечет за собой пагубные последствия для природы и населения.</w:t>
      </w:r>
    </w:p>
    <w:p w14:paraId="0A2E036E" w14:textId="77777777" w:rsid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  <w:lang w:val="kk-KZ"/>
        </w:rPr>
      </w:pPr>
      <w:r w:rsidRPr="00FE2B63">
        <w:rPr>
          <w:b w:val="0"/>
          <w:color w:val="000000"/>
          <w:sz w:val="24"/>
          <w:szCs w:val="24"/>
        </w:rPr>
        <w:t xml:space="preserve">Очевидно, что первые шаги должны исходить от государственных органов, чьей обязанностью является развитие экономики страны. Например, США в 1980-х годах подняли уровень утилизации свинцовых аккумуляторов до 95 %, законодательно обязав </w:t>
      </w:r>
      <w:r w:rsidRPr="00FE2B63">
        <w:rPr>
          <w:b w:val="0"/>
          <w:color w:val="000000"/>
          <w:sz w:val="24"/>
          <w:szCs w:val="24"/>
        </w:rPr>
        <w:lastRenderedPageBreak/>
        <w:t>пользователей сдавать их на переработку. Этот же подход теперь хотят использовать для РЗМ. Одновременно организуют стационарные и подвижные пункты приема утилизируемой бытовой техники и проводят специальные «дни сбора». Согласно Директиве 2002/96/ЕС в странах Евросоюза должны утилизироваться все ЖК дисплеи площадью более 100 см2, похожие требования применяются и к другим видам электронных отходов. Подобные усилия предпринимаются в Японии, Великобритании, Германии, Бельгии, Южной Корее и других странах. Сообщается [25], что Япония в 2011 г. ввела обязательный порядок рециклинга РЗМ, а в Евросоюзе приняты новые правила, предписывающие производителям автомобилей и электроники приступить к работам по возвращению в оборот вторичных материалов, содержащих РЗМ. В нашей стране целенаправленный сбор РЗМ-содержащих отходов не осуществляется, хотя, например, попутно со сбором вышедших из употребления люминесцентных ламп и элементов питания они попадают в сферу деятельности природоохранных ведомств.</w:t>
      </w:r>
      <w:r>
        <w:rPr>
          <w:b w:val="0"/>
          <w:color w:val="000000"/>
          <w:sz w:val="24"/>
          <w:szCs w:val="24"/>
          <w:lang w:val="kk-KZ"/>
        </w:rPr>
        <w:t xml:space="preserve"> </w:t>
      </w:r>
    </w:p>
    <w:p w14:paraId="41259BFD" w14:textId="22B99180" w:rsid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t xml:space="preserve">Наверное, РЗМ, идущие </w:t>
      </w:r>
      <w:proofErr w:type="gramStart"/>
      <w:r w:rsidRPr="00FE2B63">
        <w:rPr>
          <w:b w:val="0"/>
          <w:color w:val="000000"/>
          <w:sz w:val="24"/>
          <w:szCs w:val="24"/>
        </w:rPr>
        <w:t>на легирование</w:t>
      </w:r>
      <w:proofErr w:type="gramEnd"/>
      <w:r w:rsidRPr="00FE2B63">
        <w:rPr>
          <w:b w:val="0"/>
          <w:color w:val="000000"/>
          <w:sz w:val="24"/>
          <w:szCs w:val="24"/>
        </w:rPr>
        <w:t xml:space="preserve"> стали и ряда сплавов в металлургии, производство стекол и керамики сегодня вряд ли могут рассматриваться как объекты, интересные с точки зрения рециклинга, ввиду малого их содержания в конечных продуктах. В то же время использованные магнитные материалы, электроды никель-ме- </w:t>
      </w:r>
      <w:proofErr w:type="spellStart"/>
      <w:r w:rsidRPr="00FE2B63">
        <w:rPr>
          <w:b w:val="0"/>
          <w:color w:val="000000"/>
          <w:sz w:val="24"/>
          <w:szCs w:val="24"/>
        </w:rPr>
        <w:t>таллгидридных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аккумуляторов и отходы этих производств имеют безусловную перспективу для последующей переработки. Типичное содержание РЗМ в магнитах типа </w:t>
      </w:r>
      <w:proofErr w:type="spellStart"/>
      <w:r w:rsidRPr="00FE2B63">
        <w:rPr>
          <w:b w:val="0"/>
          <w:color w:val="000000"/>
          <w:sz w:val="24"/>
          <w:szCs w:val="24"/>
        </w:rPr>
        <w:t>SmCo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— ЗА—39 мае. % (кроме самария встречаются </w:t>
      </w:r>
      <w:proofErr w:type="spellStart"/>
      <w:r w:rsidRPr="00FE2B63">
        <w:rPr>
          <w:b w:val="0"/>
          <w:color w:val="000000"/>
          <w:sz w:val="24"/>
          <w:szCs w:val="24"/>
        </w:rPr>
        <w:t>мишметалл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Pr</w:t>
      </w:r>
      <w:proofErr w:type="spellEnd"/>
      <w:proofErr w:type="gramStart"/>
      <w:r w:rsidRPr="00FE2B63">
        <w:rPr>
          <w:b w:val="0"/>
          <w:color w:val="000000"/>
          <w:sz w:val="24"/>
          <w:szCs w:val="24"/>
        </w:rPr>
        <w:t>, Се</w:t>
      </w:r>
      <w:proofErr w:type="gram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Nd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Gd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Dy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Ег), в магнитах типа </w:t>
      </w:r>
      <w:proofErr w:type="spellStart"/>
      <w:r w:rsidRPr="00FE2B63">
        <w:rPr>
          <w:b w:val="0"/>
          <w:color w:val="000000"/>
          <w:sz w:val="24"/>
          <w:szCs w:val="24"/>
        </w:rPr>
        <w:t>NdFeB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— 23—32 мае. % (неодим частично замещается на </w:t>
      </w:r>
      <w:proofErr w:type="spellStart"/>
      <w:r w:rsidRPr="00FE2B63">
        <w:rPr>
          <w:b w:val="0"/>
          <w:color w:val="000000"/>
          <w:sz w:val="24"/>
          <w:szCs w:val="24"/>
        </w:rPr>
        <w:t>Рг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Gd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Dy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</w:t>
      </w:r>
      <w:proofErr w:type="spellStart"/>
      <w:r w:rsidRPr="00FE2B63">
        <w:rPr>
          <w:b w:val="0"/>
          <w:color w:val="000000"/>
          <w:sz w:val="24"/>
          <w:szCs w:val="24"/>
        </w:rPr>
        <w:t>Tb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) [27]. В скрапе никель-металлгидридных аккумуляторов обычно содержится около 33 мае. % РЗМ (преимущественно, лантана, иногда — </w:t>
      </w:r>
      <w:proofErr w:type="spellStart"/>
      <w:r w:rsidRPr="00FE2B63">
        <w:rPr>
          <w:b w:val="0"/>
          <w:color w:val="000000"/>
          <w:sz w:val="24"/>
          <w:szCs w:val="24"/>
        </w:rPr>
        <w:t>мишметалла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) [28]. Несмотря на невысокое содержание редких земель в использованных флюоресцентных и энергосберегающих лампах, светодиодах, жидкокристаллических мониторах и автомобильных катализаторах, извлечение их из выработавшей ресурс продукции также представляет интерес из-за высокой стоимости и дефицитности содержащихся в них элементов и по причине уже существующих производств по </w:t>
      </w:r>
      <w:proofErr w:type="spellStart"/>
      <w:r w:rsidRPr="00FE2B63">
        <w:rPr>
          <w:b w:val="0"/>
          <w:color w:val="000000"/>
          <w:sz w:val="24"/>
          <w:szCs w:val="24"/>
        </w:rPr>
        <w:t>демеркуризации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отходов ламп и извлечению платиноидов из катализаторов. Не являясь, как отмечалось выше, альтернативой извлечению редких земель из природного сырья, переработка некоторых видов «</w:t>
      </w:r>
      <w:proofErr w:type="spellStart"/>
      <w:r w:rsidRPr="00FE2B63">
        <w:rPr>
          <w:b w:val="0"/>
          <w:color w:val="000000"/>
          <w:sz w:val="24"/>
          <w:szCs w:val="24"/>
        </w:rPr>
        <w:t>вторички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», например, ламповых фосфоров может оказаться весьма эффективной в силу особенности их составов. Чтобы получить равное количество, например, европия, нужно переработать в 30 раз больше </w:t>
      </w:r>
      <w:proofErr w:type="spellStart"/>
      <w:r w:rsidRPr="00FE2B63">
        <w:rPr>
          <w:b w:val="0"/>
          <w:color w:val="000000"/>
          <w:sz w:val="24"/>
          <w:szCs w:val="24"/>
        </w:rPr>
        <w:t>лопарита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, в 20 — </w:t>
      </w:r>
      <w:proofErr w:type="spellStart"/>
      <w:r w:rsidRPr="00FE2B63">
        <w:rPr>
          <w:b w:val="0"/>
          <w:color w:val="000000"/>
          <w:sz w:val="24"/>
          <w:szCs w:val="24"/>
        </w:rPr>
        <w:t>томторского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природного концентрата по сравнению с концентратом из вышедших из употребления ламп. Применительно к тербию — в 88 раз больше </w:t>
      </w:r>
      <w:proofErr w:type="spellStart"/>
      <w:r w:rsidRPr="00FE2B63">
        <w:rPr>
          <w:b w:val="0"/>
          <w:color w:val="000000"/>
          <w:sz w:val="24"/>
          <w:szCs w:val="24"/>
        </w:rPr>
        <w:t>лопарита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и в 59 раз больше концентрата </w:t>
      </w:r>
      <w:proofErr w:type="spellStart"/>
      <w:r w:rsidRPr="00FE2B63">
        <w:rPr>
          <w:b w:val="0"/>
          <w:color w:val="000000"/>
          <w:sz w:val="24"/>
          <w:szCs w:val="24"/>
        </w:rPr>
        <w:t>Томтора</w:t>
      </w:r>
      <w:proofErr w:type="spellEnd"/>
      <w:r w:rsidRPr="00FE2B63">
        <w:rPr>
          <w:b w:val="0"/>
          <w:color w:val="000000"/>
          <w:sz w:val="24"/>
          <w:szCs w:val="24"/>
        </w:rPr>
        <w:t xml:space="preserve"> (табл. 12.1.). Содержание диспрозия в магнитах системы Fe—</w:t>
      </w:r>
      <w:proofErr w:type="spellStart"/>
      <w:r w:rsidRPr="00FE2B63">
        <w:rPr>
          <w:b w:val="0"/>
          <w:color w:val="000000"/>
          <w:sz w:val="24"/>
          <w:szCs w:val="24"/>
        </w:rPr>
        <w:t>Nd</w:t>
      </w:r>
      <w:proofErr w:type="spellEnd"/>
      <w:r w:rsidRPr="00FE2B63">
        <w:rPr>
          <w:b w:val="0"/>
          <w:color w:val="000000"/>
          <w:sz w:val="24"/>
          <w:szCs w:val="24"/>
        </w:rPr>
        <w:t>—В достигает 8,7 мае. %, тогда как в лучших по этому показателю рудных концентратах не превышает 0,1 мае. %; неодима — 23—28 против 2,92; празеодима — до 5,0 против 1,26; самария в отходах самарий-кобальтовых магнитов — 34—39 против 0,32. Соответственно, потоки реагентов, масштабы оборудования, энергозатраты, объемы твердых и жидких отходов при переработке вторичного сырья уменьшаются минимум на порядок величины.</w:t>
      </w:r>
    </w:p>
    <w:p w14:paraId="440F90D9" w14:textId="2434BB43" w:rsidR="008D06B3" w:rsidRDefault="008D06B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</w:p>
    <w:p w14:paraId="1600B86F" w14:textId="34B02B8E" w:rsidR="008D06B3" w:rsidRDefault="008D06B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</w:p>
    <w:p w14:paraId="6583A706" w14:textId="06AB731D" w:rsidR="008D06B3" w:rsidRDefault="008D06B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</w:p>
    <w:p w14:paraId="7A6BE285" w14:textId="17DDF0FE" w:rsidR="008D06B3" w:rsidRDefault="008D06B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</w:p>
    <w:p w14:paraId="387310AC" w14:textId="77777777" w:rsidR="008D06B3" w:rsidRPr="00FE2B63" w:rsidRDefault="008D06B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</w:p>
    <w:p w14:paraId="5ADE0ABB" w14:textId="77777777" w:rsidR="00FE2B63" w:rsidRP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  <w:r w:rsidRPr="00FE2B63">
        <w:rPr>
          <w:b w:val="0"/>
          <w:color w:val="000000"/>
          <w:sz w:val="24"/>
          <w:szCs w:val="24"/>
        </w:rPr>
        <w:lastRenderedPageBreak/>
        <w:t>Таблица 12.1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"/>
        <w:gridCol w:w="1755"/>
        <w:gridCol w:w="3827"/>
        <w:gridCol w:w="2816"/>
      </w:tblGrid>
      <w:tr w:rsidR="008D06B3" w:rsidRPr="008D06B3" w14:paraId="77116AAC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048608B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Оксид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3AC990D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proofErr w:type="spellStart"/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Лопаритовый</w:t>
            </w:r>
            <w:proofErr w:type="spellEnd"/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,</w:t>
            </w:r>
          </w:p>
          <w:p w14:paraId="7F78586B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Ловозеро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6E4F2C3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 xml:space="preserve">Природный пирохлор-монацит- крандаллитовый, </w:t>
            </w:r>
            <w:proofErr w:type="spellStart"/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Томтор</w:t>
            </w:r>
            <w:proofErr w:type="spellEnd"/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8420046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Концентрат фосфоров компании OSKAM</w:t>
            </w:r>
          </w:p>
        </w:tc>
      </w:tr>
      <w:tr w:rsidR="008D06B3" w:rsidRPr="008D06B3" w14:paraId="5B6ED6BE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236423D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La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69824CF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9,31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5C8DC69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2,00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5BC7F5C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0,64</w:t>
            </w:r>
          </w:p>
        </w:tc>
      </w:tr>
      <w:tr w:rsidR="008D06B3" w:rsidRPr="008D06B3" w14:paraId="5F8F0BD1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6312DA3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Се0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7B08E4B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19,12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B4FC968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4,40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EEE85C7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2,36</w:t>
            </w:r>
          </w:p>
        </w:tc>
      </w:tr>
      <w:tr w:rsidR="008D06B3" w:rsidRPr="008D06B3" w14:paraId="74087F24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DC539AE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Р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perscript"/>
                <w:lang w:val="ru-KZ" w:eastAsia="ru-KZ"/>
              </w:rPr>
              <w:t>г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2^3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2427923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1,26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B2E2502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0,48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44E89C8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695CD943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5027ED8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Nd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BC8D433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2,92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281770D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1,30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BC11559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7B92FC00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A07C8C4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Sm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7ADD07D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0,32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223F140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0,20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7EAF3AD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0885932C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0DA8921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Eu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ACB9E03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0,04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079CFEE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0,06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C2A943B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1,20</w:t>
            </w:r>
          </w:p>
        </w:tc>
      </w:tr>
      <w:tr w:rsidR="008D06B3" w:rsidRPr="008D06B3" w14:paraId="2340E538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76BBCA7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Gd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B3118F3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0,07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5970AA7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0,15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E80837A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1CA20052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BA65F9A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Tb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8AE4AA6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0,02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1728285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105F558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1,76</w:t>
            </w:r>
          </w:p>
        </w:tc>
      </w:tr>
      <w:tr w:rsidR="008D06B3" w:rsidRPr="008D06B3" w14:paraId="2F1563BE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DF30AFB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Dy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FF8F3B5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CAA4D41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0,08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C62A309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5F2F89E1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2A030D6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Ho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7E6027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93B8CEA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C99B131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075B8E0B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DC957ED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Er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03EFB1B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0,02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B343D1C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E193037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00BA9BA8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E64EA3A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Tm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07A8FAE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8E6F388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F1982C5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5AA8AFBB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1F23894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Yb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4713041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0,10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554EC37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0,02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5F6DDD3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34A7ADD4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46A8F19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Lu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70076B7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0,02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7D73301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5CC961D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</w:tr>
      <w:tr w:rsidR="008D06B3" w:rsidRPr="008D06B3" w14:paraId="65CBDB0F" w14:textId="77777777" w:rsidTr="008D06B3"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FC468F2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y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2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o</w:t>
            </w: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vertAlign w:val="subscript"/>
                <w:lang w:val="ru-KZ" w:eastAsia="ru-KZ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CFAD7F7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—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E3C0695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0,75</w:t>
            </w:r>
          </w:p>
        </w:tc>
        <w:tc>
          <w:tcPr>
            <w:tcW w:w="0" w:type="auto"/>
            <w:shd w:val="clear" w:color="auto" w:fill="FFFFFF" w:themeFill="background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FD55286" w14:textId="77777777" w:rsidR="008D06B3" w:rsidRPr="008D06B3" w:rsidRDefault="008D06B3" w:rsidP="0026611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eastAsia="ru-KZ"/>
              </w:rPr>
            </w:pPr>
            <w:r w:rsidRPr="008D06B3">
              <w:rPr>
                <w:rFonts w:ascii="Times New Roman" w:eastAsia="Times New Roman" w:hAnsi="Times New Roman" w:cs="Times New Roman"/>
                <w:color w:val="373D3F"/>
                <w:sz w:val="24"/>
                <w:szCs w:val="24"/>
                <w:lang w:val="ru-KZ" w:eastAsia="ru-KZ"/>
              </w:rPr>
              <w:t>19,85</w:t>
            </w:r>
          </w:p>
        </w:tc>
      </w:tr>
    </w:tbl>
    <w:p w14:paraId="415222BC" w14:textId="77777777" w:rsid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</w:p>
    <w:p w14:paraId="58184B8B" w14:textId="77777777" w:rsidR="00FE2B63" w:rsidRDefault="00FE2B63" w:rsidP="00FE2B63">
      <w:pPr>
        <w:pStyle w:val="1"/>
        <w:spacing w:after="0"/>
        <w:ind w:firstLine="709"/>
        <w:jc w:val="both"/>
        <w:rPr>
          <w:b w:val="0"/>
          <w:color w:val="000000"/>
          <w:sz w:val="24"/>
          <w:szCs w:val="24"/>
        </w:rPr>
      </w:pPr>
    </w:p>
    <w:sectPr w:rsidR="00FE2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E97"/>
    <w:rsid w:val="00146E45"/>
    <w:rsid w:val="00762E97"/>
    <w:rsid w:val="007E4F6C"/>
    <w:rsid w:val="00810DA6"/>
    <w:rsid w:val="00820E09"/>
    <w:rsid w:val="008D06B3"/>
    <w:rsid w:val="0094330A"/>
    <w:rsid w:val="00AA2E4D"/>
    <w:rsid w:val="00FE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4A725"/>
  <w15:chartTrackingRefBased/>
  <w15:docId w15:val="{B36BF125-8E67-4D9C-9882-1AE7B77E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330A"/>
    <w:pPr>
      <w:spacing w:after="200" w:line="276" w:lineRule="auto"/>
    </w:pPr>
    <w:rPr>
      <w:rFonts w:eastAsiaTheme="minorEastAsia"/>
      <w:lang w:val="ru-RU" w:eastAsia="ru-RU"/>
    </w:rPr>
  </w:style>
  <w:style w:type="paragraph" w:styleId="1">
    <w:name w:val="heading 1"/>
    <w:basedOn w:val="a"/>
    <w:link w:val="10"/>
    <w:uiPriority w:val="9"/>
    <w:qFormat/>
    <w:rsid w:val="009433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330A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Body Text Indent 2"/>
    <w:basedOn w:val="a"/>
    <w:link w:val="20"/>
    <w:rsid w:val="0094330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94330A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2118</Words>
  <Characters>12074</Characters>
  <Application>Microsoft Office Word</Application>
  <DocSecurity>0</DocSecurity>
  <Lines>100</Lines>
  <Paragraphs>28</Paragraphs>
  <ScaleCrop>false</ScaleCrop>
  <Company/>
  <LinksUpToDate>false</LinksUpToDate>
  <CharactersWithSpaces>14164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6</cp:revision>
  <dcterms:created xsi:type="dcterms:W3CDTF">2025-10-16T11:19:00Z</dcterms:created>
  <dcterms:modified xsi:type="dcterms:W3CDTF">2025-10-17T04:48:00Z</dcterms:modified>
</cp:coreProperties>
</file>